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2AA169" w14:textId="77777777" w:rsidR="007C6C5A" w:rsidRDefault="007C6C5A"/>
    <w:p w14:paraId="187F1F33" w14:textId="77777777" w:rsidR="00913FCC" w:rsidRDefault="00913FCC"/>
    <w:p w14:paraId="5FDCAA23" w14:textId="77777777" w:rsidR="00913FCC" w:rsidRPr="00153513" w:rsidRDefault="00913FCC" w:rsidP="00153513">
      <w:pPr>
        <w:jc w:val="center"/>
        <w:rPr>
          <w:rFonts w:asciiTheme="majorHAnsi" w:hAnsiTheme="majorHAnsi" w:cstheme="majorHAnsi"/>
        </w:rPr>
      </w:pPr>
      <w:r w:rsidRPr="00153513">
        <w:rPr>
          <w:rFonts w:asciiTheme="majorHAnsi" w:hAnsiTheme="majorHAnsi" w:cstheme="majorHAnsi"/>
        </w:rPr>
        <w:t>Offre de contrat doctoral</w:t>
      </w:r>
      <w:r w:rsidR="00153513" w:rsidRPr="00153513">
        <w:rPr>
          <w:rFonts w:asciiTheme="majorHAnsi" w:hAnsiTheme="majorHAnsi" w:cstheme="majorHAnsi"/>
        </w:rPr>
        <w:t xml:space="preserve"> en Géographie et Aménagement d’une durée de trois ans</w:t>
      </w:r>
    </w:p>
    <w:p w14:paraId="2F77ECEA" w14:textId="77777777" w:rsidR="00153513" w:rsidRPr="00153513" w:rsidRDefault="00153513" w:rsidP="00153513">
      <w:pPr>
        <w:jc w:val="center"/>
        <w:rPr>
          <w:rFonts w:asciiTheme="majorHAnsi" w:hAnsiTheme="majorHAnsi" w:cstheme="majorHAnsi"/>
        </w:rPr>
      </w:pPr>
      <w:r w:rsidRPr="00153513">
        <w:rPr>
          <w:rFonts w:asciiTheme="majorHAnsi" w:hAnsiTheme="majorHAnsi" w:cstheme="majorHAnsi"/>
        </w:rPr>
        <w:t>Université de Pau et des Pays de l’Adour</w:t>
      </w:r>
    </w:p>
    <w:p w14:paraId="26C88B93" w14:textId="77777777" w:rsidR="00153513" w:rsidRDefault="00153513" w:rsidP="00153513">
      <w:pPr>
        <w:jc w:val="center"/>
      </w:pPr>
    </w:p>
    <w:p w14:paraId="769F5393" w14:textId="77777777" w:rsidR="00153513" w:rsidRDefault="00153513" w:rsidP="00153513">
      <w:pPr>
        <w:jc w:val="center"/>
      </w:pPr>
    </w:p>
    <w:p w14:paraId="5956320D" w14:textId="77777777" w:rsidR="00153513" w:rsidRDefault="00153513" w:rsidP="00153513">
      <w:pPr>
        <w:jc w:val="both"/>
      </w:pPr>
    </w:p>
    <w:p w14:paraId="5ACAFC1B" w14:textId="77777777" w:rsidR="00153513" w:rsidRDefault="00153513" w:rsidP="00153513">
      <w:pPr>
        <w:jc w:val="both"/>
      </w:pPr>
    </w:p>
    <w:p w14:paraId="38367A6A" w14:textId="77777777" w:rsidR="00153513" w:rsidRPr="00153513" w:rsidRDefault="00153513" w:rsidP="00153513">
      <w:pPr>
        <w:jc w:val="both"/>
        <w:rPr>
          <w:b/>
          <w:bCs/>
        </w:rPr>
      </w:pPr>
      <w:r w:rsidRPr="00153513">
        <w:rPr>
          <w:b/>
          <w:bCs/>
        </w:rPr>
        <w:t xml:space="preserve">Intitulé de la thèse (provisoire) : </w:t>
      </w:r>
    </w:p>
    <w:p w14:paraId="1D030FD9" w14:textId="5D5421C1" w:rsidR="00153513" w:rsidRDefault="00153513" w:rsidP="00153513">
      <w:pPr>
        <w:jc w:val="both"/>
      </w:pPr>
      <w:r w:rsidRPr="00153513">
        <w:t xml:space="preserve">Entre effacement </w:t>
      </w:r>
      <w:r w:rsidR="00F81D33">
        <w:t>et</w:t>
      </w:r>
      <w:r w:rsidRPr="00153513">
        <w:t xml:space="preserve"> mise aux normes : l’endiguement à l’épreuve de la restauration écologique, dans le bassin Adour-Garonne</w:t>
      </w:r>
    </w:p>
    <w:p w14:paraId="1983BB6C" w14:textId="77777777" w:rsidR="00153513" w:rsidRDefault="00153513" w:rsidP="00153513">
      <w:pPr>
        <w:jc w:val="both"/>
      </w:pPr>
    </w:p>
    <w:p w14:paraId="6DB9CB90" w14:textId="77777777" w:rsidR="00153513" w:rsidRPr="00153513" w:rsidRDefault="00153513" w:rsidP="00153513">
      <w:pPr>
        <w:jc w:val="both"/>
        <w:rPr>
          <w:b/>
          <w:bCs/>
        </w:rPr>
      </w:pPr>
      <w:r w:rsidRPr="00153513">
        <w:rPr>
          <w:b/>
          <w:bCs/>
        </w:rPr>
        <w:t>Encadrement</w:t>
      </w:r>
    </w:p>
    <w:p w14:paraId="0BC34F66" w14:textId="77777777" w:rsidR="00153513" w:rsidRDefault="00153513" w:rsidP="00153513">
      <w:pPr>
        <w:jc w:val="both"/>
      </w:pPr>
      <w:r>
        <w:t>Directrice de thèse : Sylvie CLARIMONT, professeur de géographie, UPPA, UMR TREE</w:t>
      </w:r>
    </w:p>
    <w:p w14:paraId="5EC9A7BD" w14:textId="2C607A74" w:rsidR="00153513" w:rsidRDefault="00153513" w:rsidP="00153513">
      <w:pPr>
        <w:jc w:val="both"/>
      </w:pPr>
      <w:r w:rsidRPr="000E74BA">
        <w:t>Codirectrice : Sandrine VAUCELLE</w:t>
      </w:r>
      <w:r w:rsidR="000E74BA" w:rsidRPr="000E74BA">
        <w:t>,</w:t>
      </w:r>
      <w:r w:rsidR="000E74BA">
        <w:t xml:space="preserve"> maître de conférences, UBM, UMR Passages </w:t>
      </w:r>
    </w:p>
    <w:p w14:paraId="7934D386" w14:textId="77777777" w:rsidR="00153513" w:rsidRDefault="00153513" w:rsidP="00153513">
      <w:pPr>
        <w:jc w:val="both"/>
      </w:pPr>
    </w:p>
    <w:p w14:paraId="7AA3C206" w14:textId="77777777" w:rsidR="00153513" w:rsidRPr="00153513" w:rsidRDefault="00153513" w:rsidP="00153513">
      <w:pPr>
        <w:jc w:val="both"/>
        <w:rPr>
          <w:b/>
          <w:bCs/>
        </w:rPr>
      </w:pPr>
      <w:r w:rsidRPr="00153513">
        <w:rPr>
          <w:b/>
          <w:bCs/>
        </w:rPr>
        <w:t>Profil recherché</w:t>
      </w:r>
    </w:p>
    <w:p w14:paraId="7757543E" w14:textId="77777777" w:rsidR="00153513" w:rsidRDefault="00153513" w:rsidP="00153513">
      <w:pPr>
        <w:autoSpaceDE w:val="0"/>
        <w:autoSpaceDN w:val="0"/>
        <w:adjustRightInd w:val="0"/>
        <w:rPr>
          <w:rFonts w:ascii="Times New Roman" w:hAnsi="Times New Roman" w:cs="Times New Roman"/>
          <w:kern w:val="0"/>
        </w:rPr>
      </w:pPr>
      <w:r>
        <w:rPr>
          <w:rFonts w:ascii="Times New Roman" w:hAnsi="Times New Roman" w:cs="Times New Roman"/>
          <w:kern w:val="0"/>
        </w:rPr>
        <w:t>Candidat/e titulaire d’un master en géographie ou dans le champ des Sciences humaines et</w:t>
      </w:r>
    </w:p>
    <w:p w14:paraId="6C47B64C" w14:textId="77777777" w:rsidR="00153513" w:rsidRDefault="00153513" w:rsidP="00153513">
      <w:pPr>
        <w:autoSpaceDE w:val="0"/>
        <w:autoSpaceDN w:val="0"/>
        <w:adjustRightInd w:val="0"/>
        <w:rPr>
          <w:rFonts w:ascii="Times New Roman" w:hAnsi="Times New Roman" w:cs="Times New Roman"/>
          <w:kern w:val="0"/>
        </w:rPr>
      </w:pPr>
      <w:proofErr w:type="gramStart"/>
      <w:r>
        <w:rPr>
          <w:rFonts w:ascii="Times New Roman" w:hAnsi="Times New Roman" w:cs="Times New Roman"/>
          <w:kern w:val="0"/>
        </w:rPr>
        <w:t>sociales</w:t>
      </w:r>
      <w:proofErr w:type="gramEnd"/>
    </w:p>
    <w:p w14:paraId="1629717B" w14:textId="77777777" w:rsidR="00153513" w:rsidRDefault="00153513" w:rsidP="00153513">
      <w:pPr>
        <w:autoSpaceDE w:val="0"/>
        <w:autoSpaceDN w:val="0"/>
        <w:adjustRightInd w:val="0"/>
        <w:rPr>
          <w:rFonts w:ascii="Times New Roman" w:hAnsi="Times New Roman" w:cs="Times New Roman"/>
          <w:kern w:val="0"/>
        </w:rPr>
      </w:pPr>
      <w:r>
        <w:rPr>
          <w:rFonts w:ascii="Times New Roman" w:hAnsi="Times New Roman" w:cs="Times New Roman"/>
          <w:kern w:val="0"/>
        </w:rPr>
        <w:t>Très bon niveau de maîtrise de l’expression écrite comme orale, en français</w:t>
      </w:r>
    </w:p>
    <w:p w14:paraId="4EF33680" w14:textId="77777777" w:rsidR="00153513" w:rsidRDefault="00153513" w:rsidP="00153513">
      <w:pPr>
        <w:autoSpaceDE w:val="0"/>
        <w:autoSpaceDN w:val="0"/>
        <w:adjustRightInd w:val="0"/>
        <w:rPr>
          <w:rFonts w:ascii="Times New Roman" w:hAnsi="Times New Roman" w:cs="Times New Roman"/>
          <w:kern w:val="0"/>
        </w:rPr>
      </w:pPr>
      <w:r>
        <w:rPr>
          <w:rFonts w:ascii="Times New Roman" w:hAnsi="Times New Roman" w:cs="Times New Roman"/>
          <w:kern w:val="0"/>
        </w:rPr>
        <w:t>Bonne maîtrise des méthodes d’enquête qualitatives et quantitatives.</w:t>
      </w:r>
    </w:p>
    <w:p w14:paraId="637EBCE4" w14:textId="787C475E" w:rsidR="00153513" w:rsidRDefault="00153513" w:rsidP="00153513">
      <w:pPr>
        <w:autoSpaceDE w:val="0"/>
        <w:autoSpaceDN w:val="0"/>
        <w:adjustRightInd w:val="0"/>
        <w:rPr>
          <w:rFonts w:ascii="Times New Roman" w:hAnsi="Times New Roman" w:cs="Times New Roman"/>
          <w:kern w:val="0"/>
        </w:rPr>
      </w:pPr>
      <w:r>
        <w:rPr>
          <w:rFonts w:ascii="Times New Roman" w:hAnsi="Times New Roman" w:cs="Times New Roman"/>
          <w:kern w:val="0"/>
        </w:rPr>
        <w:t xml:space="preserve">Compétences en </w:t>
      </w:r>
      <w:r w:rsidR="00312C60">
        <w:rPr>
          <w:rFonts w:ascii="Times New Roman" w:hAnsi="Times New Roman" w:cs="Times New Roman"/>
          <w:kern w:val="0"/>
        </w:rPr>
        <w:t xml:space="preserve">SIG / </w:t>
      </w:r>
      <w:r>
        <w:rPr>
          <w:rFonts w:ascii="Times New Roman" w:hAnsi="Times New Roman" w:cs="Times New Roman"/>
          <w:kern w:val="0"/>
        </w:rPr>
        <w:t>cartographie.</w:t>
      </w:r>
    </w:p>
    <w:p w14:paraId="1021625A" w14:textId="52CADBF5" w:rsidR="00153513" w:rsidRDefault="00153513" w:rsidP="00153513">
      <w:pPr>
        <w:jc w:val="both"/>
        <w:rPr>
          <w:rFonts w:ascii="Times New Roman" w:hAnsi="Times New Roman" w:cs="Times New Roman"/>
          <w:kern w:val="0"/>
        </w:rPr>
      </w:pPr>
      <w:r>
        <w:rPr>
          <w:rFonts w:ascii="Times New Roman" w:hAnsi="Times New Roman" w:cs="Times New Roman"/>
          <w:kern w:val="0"/>
        </w:rPr>
        <w:t>Bon niveau de connaissance dans le domaine de l’environnement et plus spécifiquement dans celui de la gestion de l’eau</w:t>
      </w:r>
      <w:r w:rsidR="00312C60">
        <w:rPr>
          <w:rFonts w:ascii="Times New Roman" w:hAnsi="Times New Roman" w:cs="Times New Roman"/>
          <w:kern w:val="0"/>
        </w:rPr>
        <w:t>.</w:t>
      </w:r>
    </w:p>
    <w:p w14:paraId="6BC6E345" w14:textId="4B6514C1" w:rsidR="00153513" w:rsidRDefault="00153513" w:rsidP="00153513">
      <w:pPr>
        <w:jc w:val="both"/>
        <w:rPr>
          <w:rFonts w:ascii="Times New Roman" w:hAnsi="Times New Roman" w:cs="Times New Roman"/>
          <w:kern w:val="0"/>
        </w:rPr>
      </w:pPr>
      <w:r>
        <w:rPr>
          <w:rFonts w:ascii="Times New Roman" w:hAnsi="Times New Roman" w:cs="Times New Roman"/>
          <w:kern w:val="0"/>
        </w:rPr>
        <w:t>Bon niveau de connaissance du fonctionnement des collectivités territoriales et des EPCI</w:t>
      </w:r>
      <w:r w:rsidR="00312C60">
        <w:rPr>
          <w:rFonts w:ascii="Times New Roman" w:hAnsi="Times New Roman" w:cs="Times New Roman"/>
          <w:kern w:val="0"/>
        </w:rPr>
        <w:t>.</w:t>
      </w:r>
    </w:p>
    <w:p w14:paraId="4809C055" w14:textId="77777777" w:rsidR="00153513" w:rsidRDefault="00153513" w:rsidP="00153513">
      <w:pPr>
        <w:jc w:val="both"/>
        <w:rPr>
          <w:rFonts w:ascii="Times New Roman" w:hAnsi="Times New Roman" w:cs="Times New Roman"/>
          <w:kern w:val="0"/>
        </w:rPr>
      </w:pPr>
    </w:p>
    <w:p w14:paraId="392456DE" w14:textId="77777777" w:rsidR="00153513" w:rsidRDefault="00153513" w:rsidP="00153513">
      <w:pPr>
        <w:jc w:val="both"/>
      </w:pPr>
      <w:r w:rsidRPr="00153513">
        <w:rPr>
          <w:b/>
          <w:bCs/>
        </w:rPr>
        <w:t>Affectation du</w:t>
      </w:r>
      <w:r>
        <w:rPr>
          <w:b/>
          <w:bCs/>
        </w:rPr>
        <w:t xml:space="preserve"> doctorant ou de la</w:t>
      </w:r>
      <w:r w:rsidRPr="00153513">
        <w:rPr>
          <w:b/>
          <w:bCs/>
        </w:rPr>
        <w:t xml:space="preserve"> doctorante</w:t>
      </w:r>
    </w:p>
    <w:p w14:paraId="42256242" w14:textId="77777777" w:rsidR="00153513" w:rsidRDefault="00153513" w:rsidP="00153513">
      <w:pPr>
        <w:jc w:val="both"/>
      </w:pPr>
      <w:r w:rsidRPr="00153513">
        <w:t>Laboratoire TREE / UMR 6031 TREE (Transitions énergétiques et environnementales)</w:t>
      </w:r>
    </w:p>
    <w:p w14:paraId="2F374F20" w14:textId="77777777" w:rsidR="00153513" w:rsidRDefault="00153513" w:rsidP="00153513">
      <w:pPr>
        <w:jc w:val="both"/>
      </w:pPr>
      <w:r>
        <w:t>Université de Pau et des Pays de l’Adour</w:t>
      </w:r>
    </w:p>
    <w:p w14:paraId="77E34D99" w14:textId="77777777" w:rsidR="00153513" w:rsidRDefault="00153513" w:rsidP="00153513">
      <w:pPr>
        <w:jc w:val="both"/>
      </w:pPr>
      <w:r>
        <w:t xml:space="preserve">Institut Claude </w:t>
      </w:r>
      <w:proofErr w:type="spellStart"/>
      <w:r>
        <w:t>Laugénie</w:t>
      </w:r>
      <w:proofErr w:type="spellEnd"/>
    </w:p>
    <w:p w14:paraId="6624D1A7" w14:textId="77777777" w:rsidR="00153513" w:rsidRDefault="00153513" w:rsidP="00153513">
      <w:pPr>
        <w:jc w:val="both"/>
      </w:pPr>
      <w:r>
        <w:t>64000 Pau</w:t>
      </w:r>
    </w:p>
    <w:p w14:paraId="2D8BE33D" w14:textId="4160EE6C" w:rsidR="00153513" w:rsidRDefault="00000000" w:rsidP="00153513">
      <w:pPr>
        <w:jc w:val="both"/>
      </w:pPr>
      <w:hyperlink r:id="rId7" w:history="1">
        <w:r w:rsidR="00255693" w:rsidRPr="00C20CB9">
          <w:rPr>
            <w:rStyle w:val="Lienhypertexte"/>
          </w:rPr>
          <w:t>https://tree.univ-pau.fr/fr/index.html</w:t>
        </w:r>
      </w:hyperlink>
    </w:p>
    <w:p w14:paraId="66355D68" w14:textId="77777777" w:rsidR="00255693" w:rsidRDefault="00255693" w:rsidP="00153513">
      <w:pPr>
        <w:jc w:val="both"/>
      </w:pPr>
    </w:p>
    <w:p w14:paraId="6A996064" w14:textId="77777777" w:rsidR="00153513" w:rsidRPr="00153513" w:rsidRDefault="00153513" w:rsidP="00153513">
      <w:pPr>
        <w:jc w:val="both"/>
        <w:rPr>
          <w:b/>
          <w:bCs/>
        </w:rPr>
      </w:pPr>
      <w:r w:rsidRPr="00153513">
        <w:rPr>
          <w:b/>
          <w:bCs/>
        </w:rPr>
        <w:t xml:space="preserve">Moyens </w:t>
      </w:r>
    </w:p>
    <w:p w14:paraId="1913D63D" w14:textId="55361626" w:rsidR="00153513" w:rsidRDefault="00153513" w:rsidP="00153513">
      <w:pPr>
        <w:jc w:val="both"/>
      </w:pPr>
      <w:r>
        <w:t>L</w:t>
      </w:r>
      <w:r w:rsidR="003E5132">
        <w:t xml:space="preserve">e ou la doctorante bénéficiera d’un contrat doctoral de droit public </w:t>
      </w:r>
      <w:r w:rsidR="000E74BA" w:rsidRPr="00312C60">
        <w:t>établi par l’UPPA</w:t>
      </w:r>
      <w:r w:rsidR="000E74BA">
        <w:t>.</w:t>
      </w:r>
      <w:r w:rsidR="003E5132">
        <w:t xml:space="preserve"> L</w:t>
      </w:r>
      <w:r>
        <w:t>es moyens matériels nécessaires au bon déroulement du travail de thèse seront mis à disposition du doctorant ou de la doctorante : bureau, connexion internet et imprimante sur le lieu d’affectation principal.</w:t>
      </w:r>
      <w:r w:rsidR="003E5132">
        <w:t xml:space="preserve"> </w:t>
      </w:r>
    </w:p>
    <w:p w14:paraId="329A5CD7" w14:textId="77777777" w:rsidR="00153513" w:rsidRDefault="00153513" w:rsidP="00153513">
      <w:pPr>
        <w:jc w:val="both"/>
      </w:pPr>
    </w:p>
    <w:p w14:paraId="66E87939" w14:textId="77777777" w:rsidR="003E5132" w:rsidRDefault="003E5132" w:rsidP="00153513">
      <w:pPr>
        <w:jc w:val="both"/>
        <w:rPr>
          <w:b/>
          <w:bCs/>
        </w:rPr>
      </w:pPr>
      <w:r>
        <w:rPr>
          <w:b/>
          <w:bCs/>
        </w:rPr>
        <w:t>Financement de l’allocation doctorale</w:t>
      </w:r>
    </w:p>
    <w:p w14:paraId="7F7F66BB" w14:textId="77777777" w:rsidR="003E5132" w:rsidRDefault="003E5132" w:rsidP="00153513">
      <w:pPr>
        <w:jc w:val="both"/>
      </w:pPr>
      <w:r>
        <w:t>Cette allocation doctorale bénéficiera d’un financement conjoint :</w:t>
      </w:r>
    </w:p>
    <w:p w14:paraId="55950AC5" w14:textId="77777777" w:rsidR="003E5132" w:rsidRDefault="003E5132" w:rsidP="00153513">
      <w:pPr>
        <w:jc w:val="both"/>
      </w:pPr>
      <w:r>
        <w:t xml:space="preserve">- de la Région Nouvelle Aquitaine dans le cadre du PSGAR ROSEAU (projet scientifique de grande ambition régionale sur l’eau) </w:t>
      </w:r>
    </w:p>
    <w:p w14:paraId="51CB04B4" w14:textId="77777777" w:rsidR="003E5132" w:rsidRDefault="003E5132" w:rsidP="00153513">
      <w:pPr>
        <w:jc w:val="both"/>
      </w:pPr>
      <w:r>
        <w:t>- de la CCLO (Communauté de communes Lacq-Orthez)</w:t>
      </w:r>
    </w:p>
    <w:p w14:paraId="74803EC3" w14:textId="77777777" w:rsidR="003E5132" w:rsidRPr="003E5132" w:rsidRDefault="003E5132" w:rsidP="00153513">
      <w:pPr>
        <w:jc w:val="both"/>
      </w:pPr>
    </w:p>
    <w:p w14:paraId="76F4A2B7" w14:textId="77777777" w:rsidR="003E5132" w:rsidRPr="003E5132" w:rsidRDefault="003E5132" w:rsidP="00153513">
      <w:pPr>
        <w:jc w:val="both"/>
        <w:rPr>
          <w:b/>
          <w:bCs/>
        </w:rPr>
      </w:pPr>
      <w:r w:rsidRPr="003E5132">
        <w:rPr>
          <w:b/>
          <w:bCs/>
        </w:rPr>
        <w:t xml:space="preserve">Résumé du projet </w:t>
      </w:r>
    </w:p>
    <w:p w14:paraId="22134BA1" w14:textId="77777777" w:rsidR="003E5132" w:rsidRDefault="003E5132" w:rsidP="003E5132">
      <w:pPr>
        <w:jc w:val="both"/>
      </w:pPr>
      <w:r>
        <w:t xml:space="preserve">Inscrit dans l’axe 1 du PSGAR ROSEAU, ce projet de thèse porte sur le devenir des digues, dans le bassin Adour-Garonne, mis à rude épreuve par les crues généralisées de janvier-février 2026, </w:t>
      </w:r>
      <w:r>
        <w:lastRenderedPageBreak/>
        <w:t>lesquelles sont amenées à se répéter dans un contexte de changement climatique. Or, la fonction défensive de ces ouvrages de protection en surélévation par rapport au terrain naturel, anciens, très hétérogènes et souvent mal connus est de plus en plus débattue. Leur efficacité est mise en cause tandis qu’est pointée leur dangerosité potentielle en cas de rupture.</w:t>
      </w:r>
    </w:p>
    <w:p w14:paraId="594930C9" w14:textId="77777777" w:rsidR="003E5132" w:rsidRDefault="003E5132" w:rsidP="003E5132">
      <w:pPr>
        <w:jc w:val="both"/>
      </w:pPr>
      <w:r>
        <w:t>Avec l’évolution du cadre réglementaire de la gestion des ouvrages de protection, introduite par la création de la compétence GEMAPI dans le cadre de la loi MAPTAM de 2014, les collectivités locales sont désormais responsables des digues. Elles sont souvent acculées à choisir entre deux options : le confortement ou la « neutralisation » des ouvrages. Entre ces deux scénarii extrêmes, dans quelle mesure des voies intermédiaires reposant sur une combinaison de solutions accordant une place à des solutions fondées sur la nature (SFN) peuvent-elles être explorées ?</w:t>
      </w:r>
    </w:p>
    <w:p w14:paraId="67E16BEE" w14:textId="77777777" w:rsidR="00153513" w:rsidRDefault="00153513" w:rsidP="00153513">
      <w:pPr>
        <w:jc w:val="both"/>
      </w:pPr>
    </w:p>
    <w:p w14:paraId="4DF66C4A" w14:textId="77777777" w:rsidR="00A27C78" w:rsidRDefault="00A27C78" w:rsidP="00153513">
      <w:pPr>
        <w:jc w:val="both"/>
        <w:rPr>
          <w:b/>
          <w:bCs/>
        </w:rPr>
      </w:pPr>
      <w:r>
        <w:rPr>
          <w:b/>
          <w:bCs/>
        </w:rPr>
        <w:t>Contexte du projet</w:t>
      </w:r>
    </w:p>
    <w:p w14:paraId="01A54321" w14:textId="77777777" w:rsidR="00A27C78" w:rsidRDefault="00A27C78" w:rsidP="00A27C78">
      <w:pPr>
        <w:jc w:val="both"/>
      </w:pPr>
      <w:r>
        <w:t>Les crues observées en France, en janvier - février 2026, sont remarquables par leur intensité, leur durée et leur étendue avec des débordements prolongés de la Loire, de la Charente, de la Garonne et de nombre de leurs affluents, avec de lourdes conséquences territoriales : quartiers inondés, voies de communication submergées, habitants de plusieurs communes évacuées, etc. Conséquence du plus long épisode pluvieux enregistré depuis 1959, selon Météo-France, ces crues « exceptionnelles » qui n’ont pas épargné les bassins de l’Adour et de la Garonne, vont devenir plus fréquentes dans un contexte de changement climatique engendrant une plus forte variabilité saisonnière des régimes hydrologiques, notamment pour les régimes à dominante pluviale (</w:t>
      </w:r>
      <w:proofErr w:type="spellStart"/>
      <w:r>
        <w:t>Sauquet</w:t>
      </w:r>
      <w:proofErr w:type="spellEnd"/>
      <w:r>
        <w:t xml:space="preserve"> et al., 2024) et, probablement, une vulnérabilité accrue des populations riveraines. Elles conduisent à questionner les pratiques dominantes de gestion de l’eau et plus largement d’aménagement de l’espace tant rural qu’urbain, caractérisées par une volonté de contrôle des eaux de surface consistant à drainer, évacuer ou collecter les flux, endiguer les littoraux ou les berges de rivières, etc. Or, les crues de 2026 ont, une nouvelle fois, montré les fragilités et les limites des systèmes de protection aménagés le long des fleuves et des rivières avec des digues submergées voire endommagées ou détruites par les eaux comme à Aiguillon (Lot-et-Garonne), où la digue qui protégeait la commune des crues de la Garonne a cédé le 14 février, relançant le débat autour de la responsabilité de l’entretien de ces ouvrages de protection</w:t>
      </w:r>
      <w:r>
        <w:rPr>
          <w:rStyle w:val="Appelnotedebasdep"/>
        </w:rPr>
        <w:footnoteReference w:id="1"/>
      </w:r>
      <w:r>
        <w:t>. En effet, depuis 2018, les EPCI-FP sont en charge de la compétence GEMAPI, créée par la loi MAPTAM (Modernisation de l’Action Publique Territoriale et d’Affirmation des Métropoles) de 2014, pour rationaliser et clarifier la répartition des compétences territoriales relatives à la gestion des milieux aquatiques (GEMA) et à la prévention des inondations (PI). L’item 5 de la GEMAPI porte précisément sur la défense contre les inondations et contre la mer intégrant ainsi les systèmes d’endiguement. Or, la mise en œuvre de cette compétence s’avère complexe et achoppe tout particulièrement sur la question de la prise en charge locale de la conception, de l’entretien et de la surveillance des digues classées du fait des importants moyens financiers à mobiliser pour ce faire (Matias et al., 2024). Plusieurs élus de communes sinistrées cet hiver ont d’ailleurs déploré publiquement un transfert de compétence opéré « sans concertation ni moyen financier à la hauteur »</w:t>
      </w:r>
      <w:r>
        <w:rPr>
          <w:rStyle w:val="Appelnotedebasdep"/>
        </w:rPr>
        <w:footnoteReference w:id="2"/>
      </w:r>
      <w:r>
        <w:t>.</w:t>
      </w:r>
    </w:p>
    <w:p w14:paraId="3C0D0036" w14:textId="77777777" w:rsidR="00A27C78" w:rsidRDefault="00A27C78" w:rsidP="00A27C78">
      <w:pPr>
        <w:jc w:val="both"/>
      </w:pPr>
    </w:p>
    <w:p w14:paraId="59CDEC70" w14:textId="77777777" w:rsidR="00A27C78" w:rsidRDefault="00A27C78" w:rsidP="00A27C78">
      <w:pPr>
        <w:jc w:val="both"/>
        <w:rPr>
          <w:b/>
          <w:bCs/>
        </w:rPr>
      </w:pPr>
    </w:p>
    <w:p w14:paraId="4BF45B4E" w14:textId="77777777" w:rsidR="00A27C78" w:rsidRDefault="00A27C78" w:rsidP="00A27C78">
      <w:pPr>
        <w:jc w:val="both"/>
        <w:rPr>
          <w:b/>
          <w:bCs/>
        </w:rPr>
      </w:pPr>
    </w:p>
    <w:p w14:paraId="785F9846" w14:textId="77777777" w:rsidR="00A27C78" w:rsidRDefault="00A27C78" w:rsidP="00A27C78">
      <w:pPr>
        <w:jc w:val="both"/>
        <w:rPr>
          <w:b/>
          <w:bCs/>
        </w:rPr>
      </w:pPr>
    </w:p>
    <w:p w14:paraId="0661A693" w14:textId="77777777" w:rsidR="00A27C78" w:rsidRPr="00A27C78" w:rsidRDefault="00A27C78" w:rsidP="00A27C78">
      <w:pPr>
        <w:jc w:val="both"/>
        <w:rPr>
          <w:b/>
          <w:bCs/>
        </w:rPr>
      </w:pPr>
      <w:r w:rsidRPr="00A27C78">
        <w:rPr>
          <w:b/>
          <w:bCs/>
        </w:rPr>
        <w:t xml:space="preserve">Problématique et hypothèse </w:t>
      </w:r>
    </w:p>
    <w:p w14:paraId="6B4013AA" w14:textId="77777777" w:rsidR="00A27C78" w:rsidRDefault="00A27C78" w:rsidP="00A27C78">
      <w:pPr>
        <w:jc w:val="both"/>
      </w:pPr>
      <w:r>
        <w:t>Intégré au sein du programme PLANET (</w:t>
      </w:r>
      <w:proofErr w:type="spellStart"/>
      <w:r>
        <w:t>PLanification</w:t>
      </w:r>
      <w:proofErr w:type="spellEnd"/>
      <w:r>
        <w:t xml:space="preserve"> Aménagement Nature Eau et Territoires) – action de l’axe 1 du PSGAR ROSEAU (</w:t>
      </w:r>
      <w:proofErr w:type="spellStart"/>
      <w:r>
        <w:t>RessOurceS</w:t>
      </w:r>
      <w:proofErr w:type="spellEnd"/>
      <w:r>
        <w:t xml:space="preserve"> en Eau en Nouvelle-</w:t>
      </w:r>
      <w:proofErr w:type="spellStart"/>
      <w:r>
        <w:t>AqUitaine</w:t>
      </w:r>
      <w:proofErr w:type="spellEnd"/>
      <w:r>
        <w:t xml:space="preserve"> : quelles eaux pour demain ?) visant à « mieux comprendre comment améliorer l’adaptation des territoires aux variations de quantité et de qualité des eaux dans le contexte du changement global » -, le présent projet se centrera donc sur les digues, soit des « ouvrages hydrauliques linéaires s’élevant de quelques mètres au-dessus du terrain naturel environnant et des eaux douces ou côtières qu’ils bordent », aménagés dès l’époque romaine, mais ayant connu une phase d’expansion du XVIIe au XIXe siècle (</w:t>
      </w:r>
      <w:proofErr w:type="spellStart"/>
      <w:r>
        <w:t>Goeldner-Gianella</w:t>
      </w:r>
      <w:proofErr w:type="spellEnd"/>
      <w:r>
        <w:t xml:space="preserve"> et al., 2025). Si la fonction principale des digues est défensive, celles-ci peuvent également être utilisées pour gagner des terres sur la mer (</w:t>
      </w:r>
      <w:proofErr w:type="spellStart"/>
      <w:r>
        <w:t>Goeldner-Gianella</w:t>
      </w:r>
      <w:proofErr w:type="spellEnd"/>
      <w:r>
        <w:t>, 2013) ou sur les berges fluviales (Dion, 1961). Cette définition apparemment simple dissimule cependant des réalités plus complexes. Dans le bassin de l’Adour, nombre de digues sont ainsi composées de tronçons faits de matériaux hétéroclites, édifiés à des périodes différentes, pris en charge par divers maîtres d'ouvrage et implantés sur des parcelles cadastrales différentes appartenant à divers propriétaires… souvent privés (Matias et al., 2024). De plus, ces digues sont souvent multifonctionnelles et combinent la fonction défensive avec d’autres usages : par exemple récréatifs, routier (chemins ou routes départementales implantés sur la digue), ferroviaire (remblais faisant office de digue). Elles sont de ce fait connues et vécues par les habitants des territoires dans lesquels elles s’inscrivent qui peuvent entretenir avec l’espace-digue au sens large des relations étroites. C’est pourquoi l’objet digue sera appréhendé ici non pas seulement comme un ouvrage technique construit ou aménagé en vue de prévenir les inondations (fluviales) et les submersions (marines) - au sens de l’article L566-12-1 du Code de l’Environnement -, mais également comme un espace vécu auquel les usagers reconnaissent volontiers un caractère naturel, malgré son origine anthropique (</w:t>
      </w:r>
      <w:proofErr w:type="spellStart"/>
      <w:r>
        <w:t>Goeldner-Gianella</w:t>
      </w:r>
      <w:proofErr w:type="spellEnd"/>
      <w:r>
        <w:t xml:space="preserve"> et al., 2025) et envers lequel ils peuvent manifester un fort attachement (Germaine et Barraud, 2013). Il s’agira donc ici de dépasser les fréquents clivages Nature / Technique ou Nature / Société pour considérer les digues comme un objet hybride, à l’avenir incertain.</w:t>
      </w:r>
    </w:p>
    <w:p w14:paraId="143F5ECA" w14:textId="4F80D70B" w:rsidR="00A27C78" w:rsidRDefault="00A27C78" w:rsidP="00A27C78">
      <w:pPr>
        <w:jc w:val="both"/>
      </w:pPr>
      <w:r>
        <w:t>En effet, a</w:t>
      </w:r>
      <w:r w:rsidRPr="00A27C78">
        <w:t>ctuellement, si les collectivités les mieux dotées financièrement peuvent opter pour des travaux de renforcement de leurs systèmes d’endiguement, les élus d’EPCI aux capacités financières plus modestes semblent pris dans un dilemme insoluble entre deux options tout aussi inaccessibles économiquement l’une que l’autre : le confortement ou la «</w:t>
      </w:r>
      <w:r w:rsidR="00312C60">
        <w:t> </w:t>
      </w:r>
      <w:r w:rsidRPr="00A27C78">
        <w:t>neutralisation</w:t>
      </w:r>
      <w:r w:rsidR="00312C60">
        <w:t> </w:t>
      </w:r>
      <w:r w:rsidRPr="00A27C78">
        <w:t>» des ouvrages. Entre ces deux scénarii extrêmes, dans quelle mesure des voies intermédiaires reposant sur une combinaison de solutions accordant une place à des solutions fondées sur la nature (SFN) peuvent-elles être explorées ?</w:t>
      </w:r>
    </w:p>
    <w:p w14:paraId="6A2FCDA6" w14:textId="77777777" w:rsidR="00312C60" w:rsidRDefault="00312C60" w:rsidP="00A27C78">
      <w:pPr>
        <w:jc w:val="both"/>
      </w:pPr>
    </w:p>
    <w:p w14:paraId="2FB9934D" w14:textId="0CD3EA28" w:rsidR="00312C60" w:rsidRDefault="00312C60" w:rsidP="00A27C78">
      <w:pPr>
        <w:jc w:val="both"/>
      </w:pPr>
      <w:r w:rsidRPr="00312C60">
        <w:rPr>
          <w:b/>
          <w:bCs/>
        </w:rPr>
        <w:t>Mots-clés</w:t>
      </w:r>
      <w:r>
        <w:t> : digues, gestion hydraulique, restauration écologique, SFN, inondation, perceptions sociales, bassin Adour-Garonne</w:t>
      </w:r>
    </w:p>
    <w:p w14:paraId="191B9A55" w14:textId="77777777" w:rsidR="00255693" w:rsidRDefault="00255693" w:rsidP="00A27C78">
      <w:pPr>
        <w:jc w:val="both"/>
      </w:pPr>
    </w:p>
    <w:p w14:paraId="7C7F9968" w14:textId="77777777" w:rsidR="00255693" w:rsidRDefault="00255693" w:rsidP="00A27C78">
      <w:pPr>
        <w:jc w:val="both"/>
      </w:pPr>
    </w:p>
    <w:sectPr w:rsidR="0025569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47BA30" w14:textId="77777777" w:rsidR="00091A9F" w:rsidRDefault="00091A9F" w:rsidP="00A27C78">
      <w:r>
        <w:separator/>
      </w:r>
    </w:p>
  </w:endnote>
  <w:endnote w:type="continuationSeparator" w:id="0">
    <w:p w14:paraId="53391E30" w14:textId="77777777" w:rsidR="00091A9F" w:rsidRDefault="00091A9F" w:rsidP="00A27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409A23" w14:textId="77777777" w:rsidR="00091A9F" w:rsidRDefault="00091A9F" w:rsidP="00A27C78">
      <w:r>
        <w:separator/>
      </w:r>
    </w:p>
  </w:footnote>
  <w:footnote w:type="continuationSeparator" w:id="0">
    <w:p w14:paraId="15E273F3" w14:textId="77777777" w:rsidR="00091A9F" w:rsidRDefault="00091A9F" w:rsidP="00A27C78">
      <w:r>
        <w:continuationSeparator/>
      </w:r>
    </w:p>
  </w:footnote>
  <w:footnote w:id="1">
    <w:p w14:paraId="16A21596" w14:textId="77777777" w:rsidR="00A27C78" w:rsidRDefault="00A27C78">
      <w:pPr>
        <w:pStyle w:val="Notedebasdepage"/>
      </w:pPr>
      <w:r>
        <w:rPr>
          <w:rStyle w:val="Appelnotedebasdep"/>
        </w:rPr>
        <w:footnoteRef/>
      </w:r>
      <w:r>
        <w:t xml:space="preserve"> </w:t>
      </w:r>
      <w:r w:rsidRPr="001960F5">
        <w:rPr>
          <w:i/>
          <w:iCs/>
          <w:sz w:val="18"/>
          <w:szCs w:val="18"/>
        </w:rPr>
        <w:t>Le Monde</w:t>
      </w:r>
      <w:r w:rsidRPr="00DE767C">
        <w:rPr>
          <w:sz w:val="18"/>
          <w:szCs w:val="18"/>
        </w:rPr>
        <w:t>, 20/02/2026</w:t>
      </w:r>
      <w:r>
        <w:rPr>
          <w:sz w:val="18"/>
          <w:szCs w:val="18"/>
        </w:rPr>
        <w:t>, « A Aiguillon, les agriculteurs n’ont jamais vu cela »</w:t>
      </w:r>
    </w:p>
  </w:footnote>
  <w:footnote w:id="2">
    <w:p w14:paraId="6322D4A9" w14:textId="77777777" w:rsidR="00A27C78" w:rsidRDefault="00A27C78">
      <w:pPr>
        <w:pStyle w:val="Notedebasdepage"/>
      </w:pPr>
      <w:r>
        <w:rPr>
          <w:rStyle w:val="Appelnotedebasdep"/>
        </w:rPr>
        <w:footnoteRef/>
      </w:r>
      <w:r>
        <w:t xml:space="preserve"> </w:t>
      </w:r>
      <w:r w:rsidRPr="001960F5">
        <w:rPr>
          <w:i/>
          <w:iCs/>
          <w:sz w:val="18"/>
          <w:szCs w:val="18"/>
        </w:rPr>
        <w:t>Le Monde</w:t>
      </w:r>
      <w:r w:rsidRPr="00DE767C">
        <w:rPr>
          <w:sz w:val="18"/>
          <w:szCs w:val="18"/>
        </w:rPr>
        <w:t>,</w:t>
      </w:r>
      <w:r>
        <w:rPr>
          <w:sz w:val="18"/>
          <w:szCs w:val="18"/>
        </w:rPr>
        <w:t xml:space="preserve"> 22-23/02/2026, « Inondations : les digues de la discorde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7E209C"/>
    <w:multiLevelType w:val="multilevel"/>
    <w:tmpl w:val="6D50F2FC"/>
    <w:lvl w:ilvl="0">
      <w:start w:val="1"/>
      <w:numFmt w:val="decimal"/>
      <w:pStyle w:val="Titre1Bi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02947C0"/>
    <w:multiLevelType w:val="hybridMultilevel"/>
    <w:tmpl w:val="25EE79B8"/>
    <w:lvl w:ilvl="0" w:tplc="EA10EAF6">
      <w:start w:val="1"/>
      <w:numFmt w:val="decimal"/>
      <w:lvlText w:val="%1-"/>
      <w:lvlJc w:val="left"/>
      <w:pPr>
        <w:ind w:left="720" w:hanging="360"/>
      </w:pPr>
      <w:rPr>
        <w:rFonts w:ascii="Calibri" w:hAnsi="Calibri" w:cs="Calibri" w:hint="default"/>
        <w:b/>
        <w:color w:val="385623"/>
        <w:sz w:val="28"/>
      </w:rPr>
    </w:lvl>
    <w:lvl w:ilvl="1" w:tplc="040C0005">
      <w:start w:val="1"/>
      <w:numFmt w:val="bullet"/>
      <w:lvlText w:val=""/>
      <w:lvlJc w:val="left"/>
      <w:pPr>
        <w:ind w:left="720" w:hanging="360"/>
      </w:pPr>
      <w:rPr>
        <w:rFonts w:ascii="Wingdings" w:hAnsi="Wingdings" w:hint="default"/>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74181DE5"/>
    <w:multiLevelType w:val="multilevel"/>
    <w:tmpl w:val="8A78B67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52534254">
    <w:abstractNumId w:val="2"/>
  </w:num>
  <w:num w:numId="2" w16cid:durableId="1365204239">
    <w:abstractNumId w:val="1"/>
  </w:num>
  <w:num w:numId="3" w16cid:durableId="713773411">
    <w:abstractNumId w:val="0"/>
  </w:num>
  <w:num w:numId="4" w16cid:durableId="11398061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FCC"/>
    <w:rsid w:val="000305D9"/>
    <w:rsid w:val="00091A9F"/>
    <w:rsid w:val="000E74BA"/>
    <w:rsid w:val="00153513"/>
    <w:rsid w:val="002156BB"/>
    <w:rsid w:val="00255693"/>
    <w:rsid w:val="00312C60"/>
    <w:rsid w:val="003D4489"/>
    <w:rsid w:val="003E5132"/>
    <w:rsid w:val="00725ACD"/>
    <w:rsid w:val="007C6C5A"/>
    <w:rsid w:val="00827480"/>
    <w:rsid w:val="008F25B2"/>
    <w:rsid w:val="00913FCC"/>
    <w:rsid w:val="009239AB"/>
    <w:rsid w:val="00A27C78"/>
    <w:rsid w:val="00BA6317"/>
    <w:rsid w:val="00BB0FE1"/>
    <w:rsid w:val="00D725DA"/>
    <w:rsid w:val="00F81D3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CD5DB"/>
  <w15:chartTrackingRefBased/>
  <w15:docId w15:val="{7D34C4FD-AD5F-414B-9709-69AE2E498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B0FE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1Bis">
    <w:name w:val="Titre 1_Bis"/>
    <w:basedOn w:val="Titre1"/>
    <w:link w:val="Titre1BisCar"/>
    <w:qFormat/>
    <w:rsid w:val="00BB0FE1"/>
    <w:pPr>
      <w:numPr>
        <w:numId w:val="3"/>
      </w:numPr>
      <w:ind w:left="360" w:hanging="360"/>
      <w:jc w:val="both"/>
    </w:pPr>
    <w:rPr>
      <w:b/>
      <w:bCs/>
      <w:kern w:val="0"/>
      <w:sz w:val="28"/>
      <w:szCs w:val="36"/>
      <w:lang w:eastAsia="fr-FR"/>
      <w14:ligatures w14:val="none"/>
    </w:rPr>
  </w:style>
  <w:style w:type="character" w:customStyle="1" w:styleId="Titre1BisCar">
    <w:name w:val="Titre 1_Bis Car"/>
    <w:basedOn w:val="Titre1Car"/>
    <w:link w:val="Titre1Bis"/>
    <w:rsid w:val="00BB0FE1"/>
    <w:rPr>
      <w:rFonts w:asciiTheme="majorHAnsi" w:eastAsiaTheme="majorEastAsia" w:hAnsiTheme="majorHAnsi" w:cstheme="majorBidi"/>
      <w:b/>
      <w:bCs/>
      <w:color w:val="2F5496" w:themeColor="accent1" w:themeShade="BF"/>
      <w:kern w:val="0"/>
      <w:sz w:val="28"/>
      <w:szCs w:val="36"/>
      <w:lang w:eastAsia="fr-FR"/>
      <w14:ligatures w14:val="none"/>
    </w:rPr>
  </w:style>
  <w:style w:type="character" w:customStyle="1" w:styleId="Titre1Car">
    <w:name w:val="Titre 1 Car"/>
    <w:basedOn w:val="Policepardfaut"/>
    <w:link w:val="Titre1"/>
    <w:uiPriority w:val="9"/>
    <w:rsid w:val="00BB0FE1"/>
    <w:rPr>
      <w:rFonts w:asciiTheme="majorHAnsi" w:eastAsiaTheme="majorEastAsia" w:hAnsiTheme="majorHAnsi" w:cstheme="majorBidi"/>
      <w:color w:val="2F5496" w:themeColor="accent1" w:themeShade="BF"/>
      <w:sz w:val="32"/>
      <w:szCs w:val="32"/>
    </w:rPr>
  </w:style>
  <w:style w:type="paragraph" w:customStyle="1" w:styleId="Titre1P">
    <w:name w:val="Titre1_P"/>
    <w:basedOn w:val="Normal"/>
    <w:link w:val="Titre1PCar"/>
    <w:qFormat/>
    <w:rsid w:val="00BB0FE1"/>
    <w:pPr>
      <w:tabs>
        <w:tab w:val="num" w:pos="720"/>
      </w:tabs>
      <w:spacing w:before="240" w:after="120" w:line="280" w:lineRule="exact"/>
      <w:ind w:left="720" w:hanging="360"/>
      <w:jc w:val="both"/>
    </w:pPr>
    <w:rPr>
      <w:rFonts w:ascii="Calibri" w:hAnsi="Calibri" w:cs="Calibri"/>
      <w:b/>
      <w:iCs/>
      <w:color w:val="2F5496" w:themeColor="accent1" w:themeShade="BF"/>
      <w:spacing w:val="-1"/>
      <w:szCs w:val="18"/>
    </w:rPr>
  </w:style>
  <w:style w:type="character" w:customStyle="1" w:styleId="Titre1PCar">
    <w:name w:val="Titre1_P Car"/>
    <w:basedOn w:val="Policepardfaut"/>
    <w:link w:val="Titre1P"/>
    <w:rsid w:val="00BB0FE1"/>
    <w:rPr>
      <w:rFonts w:ascii="Calibri" w:hAnsi="Calibri" w:cs="Calibri"/>
      <w:b/>
      <w:iCs/>
      <w:color w:val="2F5496" w:themeColor="accent1" w:themeShade="BF"/>
      <w:spacing w:val="-1"/>
      <w:szCs w:val="18"/>
    </w:rPr>
  </w:style>
  <w:style w:type="paragraph" w:styleId="Notedebasdepage">
    <w:name w:val="footnote text"/>
    <w:basedOn w:val="Normal"/>
    <w:link w:val="NotedebasdepageCar"/>
    <w:semiHidden/>
    <w:unhideWhenUsed/>
    <w:rsid w:val="00A27C78"/>
    <w:rPr>
      <w:sz w:val="20"/>
      <w:szCs w:val="20"/>
    </w:rPr>
  </w:style>
  <w:style w:type="character" w:customStyle="1" w:styleId="NotedebasdepageCar">
    <w:name w:val="Note de bas de page Car"/>
    <w:basedOn w:val="Policepardfaut"/>
    <w:link w:val="Notedebasdepage"/>
    <w:semiHidden/>
    <w:rsid w:val="00A27C78"/>
    <w:rPr>
      <w:sz w:val="20"/>
      <w:szCs w:val="20"/>
    </w:rPr>
  </w:style>
  <w:style w:type="character" w:styleId="Appelnotedebasdep">
    <w:name w:val="footnote reference"/>
    <w:basedOn w:val="Policepardfaut"/>
    <w:uiPriority w:val="99"/>
    <w:semiHidden/>
    <w:unhideWhenUsed/>
    <w:rsid w:val="00A27C78"/>
    <w:rPr>
      <w:vertAlign w:val="superscript"/>
    </w:rPr>
  </w:style>
  <w:style w:type="character" w:styleId="Lienhypertexte">
    <w:name w:val="Hyperlink"/>
    <w:basedOn w:val="Policepardfaut"/>
    <w:uiPriority w:val="99"/>
    <w:unhideWhenUsed/>
    <w:rsid w:val="00255693"/>
    <w:rPr>
      <w:color w:val="0563C1" w:themeColor="hyperlink"/>
      <w:u w:val="single"/>
    </w:rPr>
  </w:style>
  <w:style w:type="character" w:styleId="Mentionnonrsolue">
    <w:name w:val="Unresolved Mention"/>
    <w:basedOn w:val="Policepardfaut"/>
    <w:uiPriority w:val="99"/>
    <w:semiHidden/>
    <w:unhideWhenUsed/>
    <w:rsid w:val="002556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ree.univ-pau.fr/fr/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1349</Words>
  <Characters>7422</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Evaluateur 2</dc:creator>
  <cp:keywords/>
  <dc:description/>
  <cp:lastModifiedBy>Evaluateur 2</cp:lastModifiedBy>
  <cp:revision>4</cp:revision>
  <cp:lastPrinted>2026-07-19T19:26:00Z</cp:lastPrinted>
  <dcterms:created xsi:type="dcterms:W3CDTF">2026-07-20T15:50:00Z</dcterms:created>
  <dcterms:modified xsi:type="dcterms:W3CDTF">2026-07-20T17:14:00Z</dcterms:modified>
</cp:coreProperties>
</file>